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4798"/>
      </w:tblGrid>
      <w:tr>
        <w:tc>
          <w:tcPr>
            <w:tcW w:type="dxa" w:w="14798"/>
            <w:shd w:val="clear" w:color="auto" w:fill="00D4FF"/>
          </w:tcPr>
          <w:p>
            <w:pPr>
              <w:spacing w:before="0" w:after="0" w:line="0" w:lineRule="exact"/>
            </w:pPr>
          </w:p>
        </w:tc>
      </w:tr>
    </w:tbl>
    <w:p/>
    <w:p>
      <w:pPr>
        <w:spacing w:before="120" w:after="80"/>
        <w:jc w:val="center"/>
      </w:pPr>
      <w:r>
        <w:rPr>
          <w:b/>
          <w:i w:val="0"/>
          <w:color w:val="FFFFFF"/>
          <w:sz w:val="64"/>
        </w:rPr>
        <w:t>智能端脑 · SmartEdge Brain</w:t>
      </w:r>
    </w:p>
    <w:p>
      <w:pPr>
        <w:spacing w:after="40"/>
        <w:jc w:val="center"/>
      </w:pPr>
      <w:r>
        <w:rPr>
          <w:b w:val="0"/>
          <w:i w:val="0"/>
          <w:color w:val="00D4FF"/>
          <w:sz w:val="28"/>
        </w:rPr>
        <w:t>十大核心卖点 · 为AI时代全面赋能</w:t>
      </w:r>
    </w:p>
    <w:p>
      <w:pPr>
        <w:spacing w:before="80" w:after="120"/>
        <w:jc w:val="center"/>
      </w:pPr>
      <w:r>
        <w:rPr>
          <w:b w:val="0"/>
          <w:i w:val="0"/>
          <w:color w:val="FFD700"/>
          <w:sz w:val="20"/>
        </w:rPr>
        <w:t>━━━━━━━━━━━━━━━━━━━━━━━━━━━━━━━━━━━━━━━━━━━━━━━━━━━━━━━━━━</w:t>
      </w:r>
    </w:p>
    <w:p>
      <w:pPr>
        <w:spacing w:after="240"/>
        <w:jc w:val="center"/>
      </w:pPr>
      <w:r>
        <w:rPr>
          <w:b w:val="0"/>
          <w:i/>
          <w:color w:val="8A9AAA"/>
          <w:sz w:val="22"/>
        </w:rPr>
        <w:t>「让AI能力触手可及，让数据安全留在本地」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4798"/>
      </w:tblGrid>
      <w:tr>
        <w:tc>
          <w:tcPr>
            <w:tcW w:type="dxa" w:w="14798"/>
            <w:shd w:val="clear" w:color="auto" w:fill="0D1A28"/>
            <w:tcBorders>
              <w:top w:sz="12" w:color="00D4FF" w:val="single"/>
              <w:left w:sz="12" w:color="00D4FF" w:val="single"/>
              <w:bottom w:sz="12" w:color="00D4FF" w:val="single"/>
              <w:right w:sz="12" w:color="00D4FF" w:val="single"/>
            </w:tcBorders>
          </w:tcPr>
          <w:p>
            <w:pPr>
              <w:spacing w:before="0" w:after="0" w:line="0" w:lineRule="exact"/>
            </w:pPr>
          </w:p>
          <w:tbl>
            <w:tblPr>
              <w:tblW w:type="auto" w:w="0"/>
              <w:jc w:val="center"/>
              <w:tblLook w:firstColumn="1" w:firstRow="1" w:lastColumn="0" w:lastRow="0" w:noHBand="0" w:noVBand="1" w:val="04A0"/>
            </w:tblPr>
            <w:tblGrid>
              <w:gridCol w:w="1701"/>
              <w:gridCol w:w="12756"/>
            </w:tblGrid>
            <w:tr>
              <w:tc>
                <w:tcPr>
                  <w:tcW w:type="dxa" w:w="7399"/>
                  <w:shd w:val="clear" w:color="auto" w:fill="0A1422"/>
                  <w:vAlign w:val="center"/>
                </w:tcPr>
                <w:p>
                  <w:pPr>
                    <w:spacing w:before="240" w:after="0"/>
                    <w:jc w:val="center"/>
                  </w:pPr>
                  <w:r>
                    <w:rPr>
                      <w:b/>
                      <w:i w:val="0"/>
                      <w:color w:val="FFD700"/>
                      <w:sz w:val="72"/>
                    </w:rPr>
                    <w:t>01</w:t>
                  </w:r>
                </w:p>
                <w:p>
                  <w:pPr>
                    <w:spacing w:before="40" w:after="240"/>
                    <w:jc w:val="center"/>
                  </w:pPr>
                  <w:r>
                    <w:rPr>
                      <w:b w:val="0"/>
                      <w:i w:val="0"/>
                      <w:color w:val="8A9AAA"/>
                      <w:sz w:val="16"/>
                    </w:rPr>
                    <w:t>核心卖点</w:t>
                  </w:r>
                </w:p>
              </w:tc>
              <w:tc>
                <w:tcPr>
                  <w:tcW w:type="dxa" w:w="7399"/>
                  <w:vAlign w:val="center"/>
                </w:tcPr>
                <w:p>
                  <w:pPr>
                    <w:spacing w:before="240" w:after="80"/>
                  </w:pPr>
                  <w:r>
                    <w:rPr>
                      <w:b/>
                      <w:i w:val="0"/>
                      <w:color w:val="FFFFFF"/>
                      <w:sz w:val="26"/>
                    </w:rPr>
                    <w:t>国产瑞芯微芯片 · 自主可控的边缘大脑</w:t>
                  </w:r>
                </w:p>
                <w:p>
                  <w:pPr>
                    <w:spacing w:before="0" w:after="120"/>
                  </w:pPr>
                  <w:r>
                    <w:rPr>
                      <w:b/>
                      <w:i w:val="0"/>
                      <w:color w:val="FFD700"/>
                      <w:sz w:val="21"/>
                    </w:rPr>
                    <w:t>✦  RK3568 四核国产芯，低功耗高集成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内置国产瑞芯微 RK3568 旗舰级 SoC，集成4核CPU、ARM Mali-G52 GPU与1TOPS NPU，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真正实现本地化AI推理——数据不出设备，指令响应延迟低于200ms。</w:t>
                  </w:r>
                </w:p>
                <w:p>
                  <w:pPr>
                    <w:spacing w:before="0" w:after="80"/>
                  </w:pP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从芯片到系统全栈国产化，杜绝后门风险，满足党政军及关键行业的合规要求，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是信创时代最具底气的AI终端选择。</w:t>
                  </w:r>
                </w:p>
                <w:p>
                  <w:pPr>
                    <w:spacing w:before="120" w:after="240"/>
                  </w:pPr>
                  <w:r>
                    <w:rPr>
                      <w:b w:val="0"/>
                      <w:i w:val="0"/>
                      <w:color w:val="00D4FF"/>
                      <w:sz w:val="17"/>
                    </w:rPr>
                    <w:t xml:space="preserve">#国产芯片  </w:t>
                  </w:r>
                  <w:r>
                    <w:rPr>
                      <w:b w:val="0"/>
                      <w:i w:val="0"/>
                      <w:color w:val="00D4FF"/>
                      <w:sz w:val="17"/>
                    </w:rPr>
                    <w:t xml:space="preserve">#边缘推理  </w:t>
                  </w:r>
                  <w:r>
                    <w:rPr>
                      <w:b w:val="0"/>
                      <w:i w:val="0"/>
                      <w:color w:val="00D4FF"/>
                      <w:sz w:val="17"/>
                    </w:rPr>
                    <w:t xml:space="preserve">#自主可控  </w:t>
                  </w:r>
                  <w:r>
                    <w:rPr>
                      <w:b w:val="0"/>
                      <w:i w:val="0"/>
                      <w:color w:val="00D4FF"/>
                      <w:sz w:val="17"/>
                    </w:rPr>
                    <w:t xml:space="preserve">#信创合规  </w:t>
                  </w:r>
                </w:p>
              </w:tc>
            </w:tr>
          </w:tbl>
        </w:tc>
      </w:tr>
    </w:tbl>
    <w:p>
      <w:pPr>
        <w:spacing w:before="0" w:after="80" w:line="80" w:lineRule="exact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4798"/>
      </w:tblGrid>
      <w:tr>
        <w:tc>
          <w:tcPr>
            <w:tcW w:type="dxa" w:w="14798"/>
            <w:shd w:val="clear" w:color="auto" w:fill="0D1A28"/>
            <w:tcBorders>
              <w:top w:sz="12" w:color="00FF88" w:val="single"/>
              <w:left w:sz="12" w:color="00FF88" w:val="single"/>
              <w:bottom w:sz="12" w:color="00FF88" w:val="single"/>
              <w:right w:sz="12" w:color="00FF88" w:val="single"/>
            </w:tcBorders>
          </w:tcPr>
          <w:p>
            <w:pPr>
              <w:spacing w:before="0" w:after="0" w:line="0" w:lineRule="exact"/>
            </w:pPr>
          </w:p>
          <w:tbl>
            <w:tblPr>
              <w:tblW w:type="auto" w:w="0"/>
              <w:jc w:val="center"/>
              <w:tblLook w:firstColumn="1" w:firstRow="1" w:lastColumn="0" w:lastRow="0" w:noHBand="0" w:noVBand="1" w:val="04A0"/>
            </w:tblPr>
            <w:tblGrid>
              <w:gridCol w:w="1701"/>
              <w:gridCol w:w="12756"/>
            </w:tblGrid>
            <w:tr>
              <w:tc>
                <w:tcPr>
                  <w:tcW w:type="dxa" w:w="7399"/>
                  <w:shd w:val="clear" w:color="auto" w:fill="0A1422"/>
                  <w:vAlign w:val="center"/>
                </w:tcPr>
                <w:p>
                  <w:pPr>
                    <w:spacing w:before="240" w:after="0"/>
                    <w:jc w:val="center"/>
                  </w:pPr>
                  <w:r>
                    <w:rPr>
                      <w:b/>
                      <w:i w:val="0"/>
                      <w:color w:val="FFD700"/>
                      <w:sz w:val="72"/>
                    </w:rPr>
                    <w:t>02</w:t>
                  </w:r>
                </w:p>
                <w:p>
                  <w:pPr>
                    <w:spacing w:before="40" w:after="240"/>
                    <w:jc w:val="center"/>
                  </w:pPr>
                  <w:r>
                    <w:rPr>
                      <w:b w:val="0"/>
                      <w:i w:val="0"/>
                      <w:color w:val="8A9AAA"/>
                      <w:sz w:val="16"/>
                    </w:rPr>
                    <w:t>核心卖点</w:t>
                  </w:r>
                </w:p>
              </w:tc>
              <w:tc>
                <w:tcPr>
                  <w:tcW w:type="dxa" w:w="7399"/>
                  <w:vAlign w:val="center"/>
                </w:tcPr>
                <w:p>
                  <w:pPr>
                    <w:spacing w:before="240" w:after="80"/>
                  </w:pPr>
                  <w:r>
                    <w:rPr>
                      <w:b/>
                      <w:i w:val="0"/>
                      <w:color w:val="FFFFFF"/>
                      <w:sz w:val="26"/>
                    </w:rPr>
                    <w:t>云边端三角协同 · 速度与安全兼得</w:t>
                  </w:r>
                </w:p>
                <w:p>
                  <w:pPr>
                    <w:spacing w:before="0" w:after="120"/>
                  </w:pPr>
                  <w:r>
                    <w:rPr>
                      <w:b/>
                      <w:i w:val="0"/>
                      <w:color w:val="FFD700"/>
                      <w:sz w:val="21"/>
                    </w:rPr>
                    <w:t>✦  离线可用，响应速度毫秒级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用户端提供真实场景反馈，边缘节点承担轻量推理与隐私过滤，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云端大模型专注深度理解与知识生成——三角协同，缺一不可。</w:t>
                  </w:r>
                </w:p>
                <w:p>
                  <w:pPr>
                    <w:spacing w:before="0" w:after="80"/>
                  </w:pP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常规任务本地闭环，断网可用；复杂推理无缝上云，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既保证毫秒级响应速度，又保障数据安全，更能持续进化迭代。</w:t>
                  </w:r>
                </w:p>
                <w:p>
                  <w:pPr>
                    <w:spacing w:before="120" w:after="240"/>
                  </w:pPr>
                  <w:r>
                    <w:rPr>
                      <w:b w:val="0"/>
                      <w:i w:val="0"/>
                      <w:color w:val="00FF88"/>
                      <w:sz w:val="17"/>
                    </w:rPr>
                    <w:t xml:space="preserve">#云边端协同  </w:t>
                  </w:r>
                  <w:r>
                    <w:rPr>
                      <w:b w:val="0"/>
                      <w:i w:val="0"/>
                      <w:color w:val="00FF88"/>
                      <w:sz w:val="17"/>
                    </w:rPr>
                    <w:t xml:space="preserve">#离线可用  </w:t>
                  </w:r>
                  <w:r>
                    <w:rPr>
                      <w:b w:val="0"/>
                      <w:i w:val="0"/>
                      <w:color w:val="00FF88"/>
                      <w:sz w:val="17"/>
                    </w:rPr>
                    <w:t xml:space="preserve">#隐私计算  </w:t>
                  </w:r>
                  <w:r>
                    <w:rPr>
                      <w:b w:val="0"/>
                      <w:i w:val="0"/>
                      <w:color w:val="00FF88"/>
                      <w:sz w:val="17"/>
                    </w:rPr>
                    <w:t xml:space="preserve">#无缝上云  </w:t>
                  </w:r>
                </w:p>
              </w:tc>
            </w:tr>
          </w:tbl>
        </w:tc>
      </w:tr>
    </w:tbl>
    <w:p>
      <w:pPr>
        <w:spacing w:before="0" w:after="80" w:line="80" w:lineRule="exact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4798"/>
      </w:tblGrid>
      <w:tr>
        <w:tc>
          <w:tcPr>
            <w:tcW w:type="dxa" w:w="14798"/>
            <w:shd w:val="clear" w:color="auto" w:fill="0D1A28"/>
            <w:tcBorders>
              <w:top w:sz="12" w:color="00D4FF" w:val="single"/>
              <w:left w:sz="12" w:color="00D4FF" w:val="single"/>
              <w:bottom w:sz="12" w:color="00D4FF" w:val="single"/>
              <w:right w:sz="12" w:color="00D4FF" w:val="single"/>
            </w:tcBorders>
          </w:tcPr>
          <w:p>
            <w:pPr>
              <w:spacing w:before="0" w:after="0" w:line="0" w:lineRule="exact"/>
            </w:pPr>
          </w:p>
          <w:tbl>
            <w:tblPr>
              <w:tblW w:type="auto" w:w="0"/>
              <w:jc w:val="center"/>
              <w:tblLook w:firstColumn="1" w:firstRow="1" w:lastColumn="0" w:lastRow="0" w:noHBand="0" w:noVBand="1" w:val="04A0"/>
            </w:tblPr>
            <w:tblGrid>
              <w:gridCol w:w="1701"/>
              <w:gridCol w:w="12756"/>
            </w:tblGrid>
            <w:tr>
              <w:tc>
                <w:tcPr>
                  <w:tcW w:type="dxa" w:w="7399"/>
                  <w:shd w:val="clear" w:color="auto" w:fill="0A1422"/>
                  <w:vAlign w:val="center"/>
                </w:tcPr>
                <w:p>
                  <w:pPr>
                    <w:spacing w:before="240" w:after="0"/>
                    <w:jc w:val="center"/>
                  </w:pPr>
                  <w:r>
                    <w:rPr>
                      <w:b/>
                      <w:i w:val="0"/>
                      <w:color w:val="FFD700"/>
                      <w:sz w:val="72"/>
                    </w:rPr>
                    <w:t>03</w:t>
                  </w:r>
                </w:p>
                <w:p>
                  <w:pPr>
                    <w:spacing w:before="40" w:after="240"/>
                    <w:jc w:val="center"/>
                  </w:pPr>
                  <w:r>
                    <w:rPr>
                      <w:b w:val="0"/>
                      <w:i w:val="0"/>
                      <w:color w:val="8A9AAA"/>
                      <w:sz w:val="16"/>
                    </w:rPr>
                    <w:t>核心卖点</w:t>
                  </w:r>
                </w:p>
              </w:tc>
              <w:tc>
                <w:tcPr>
                  <w:tcW w:type="dxa" w:w="7399"/>
                  <w:vAlign w:val="center"/>
                </w:tcPr>
                <w:p>
                  <w:pPr>
                    <w:spacing w:before="240" w:after="80"/>
                  </w:pPr>
                  <w:r>
                    <w:rPr>
                      <w:b/>
                      <w:i w:val="0"/>
                      <w:color w:val="FFFFFF"/>
                      <w:sz w:val="26"/>
                    </w:rPr>
                    <w:t>双智能体引擎 · 产出质量双重校验</w:t>
                  </w:r>
                </w:p>
                <w:p>
                  <w:pPr>
                    <w:spacing w:before="0" w:after="120"/>
                  </w:pPr>
                  <w:r>
                    <w:rPr>
                      <w:b/>
                      <w:i w:val="0"/>
                      <w:color w:val="FFD700"/>
                      <w:sz w:val="21"/>
                    </w:rPr>
                    <w:t>✦  NewMind × xucheng 双Agent，交叉审核零死角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内置序程思维自研 NewMind 双智能体引擎，由主Agent执行任务、评审Agent交叉审核，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形成「执行→评审→修订→终稿」的自动化闭环，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确保AI产出内容准确、合规、可交付。</w:t>
                  </w:r>
                </w:p>
                <w:p>
                  <w:pPr>
                    <w:spacing w:before="0" w:after="80"/>
                  </w:pP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相较单Agent方案，错误率降低80%以上，是真正可信赖的生产级AI工具。</w:t>
                  </w:r>
                </w:p>
                <w:p>
                  <w:pPr>
                    <w:spacing w:before="120" w:after="240"/>
                  </w:pPr>
                  <w:r>
                    <w:rPr>
                      <w:b w:val="0"/>
                      <w:i w:val="0"/>
                      <w:color w:val="00D4FF"/>
                      <w:sz w:val="17"/>
                    </w:rPr>
                    <w:t xml:space="preserve">#双智能体  </w:t>
                  </w:r>
                  <w:r>
                    <w:rPr>
                      <w:b w:val="0"/>
                      <w:i w:val="0"/>
                      <w:color w:val="00D4FF"/>
                      <w:sz w:val="17"/>
                    </w:rPr>
                    <w:t xml:space="preserve">#质量审核  </w:t>
                  </w:r>
                  <w:r>
                    <w:rPr>
                      <w:b w:val="0"/>
                      <w:i w:val="0"/>
                      <w:color w:val="00D4FF"/>
                      <w:sz w:val="17"/>
                    </w:rPr>
                    <w:t xml:space="preserve">#自动纠错  </w:t>
                  </w:r>
                  <w:r>
                    <w:rPr>
                      <w:b w:val="0"/>
                      <w:i w:val="0"/>
                      <w:color w:val="00D4FF"/>
                      <w:sz w:val="17"/>
                    </w:rPr>
                    <w:t xml:space="preserve">#生产级AI  </w:t>
                  </w:r>
                </w:p>
              </w:tc>
            </w:tr>
          </w:tbl>
        </w:tc>
      </w:tr>
    </w:tbl>
    <w:p>
      <w:pPr>
        <w:spacing w:before="0" w:after="80" w:line="80" w:lineRule="exact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4798"/>
      </w:tblGrid>
      <w:tr>
        <w:tc>
          <w:tcPr>
            <w:tcW w:type="dxa" w:w="14798"/>
            <w:shd w:val="clear" w:color="auto" w:fill="0D1A28"/>
            <w:tcBorders>
              <w:top w:sz="12" w:color="00FF88" w:val="single"/>
              <w:left w:sz="12" w:color="00FF88" w:val="single"/>
              <w:bottom w:sz="12" w:color="00FF88" w:val="single"/>
              <w:right w:sz="12" w:color="00FF88" w:val="single"/>
            </w:tcBorders>
          </w:tcPr>
          <w:p>
            <w:pPr>
              <w:spacing w:before="0" w:after="0" w:line="0" w:lineRule="exact"/>
            </w:pPr>
          </w:p>
          <w:tbl>
            <w:tblPr>
              <w:tblW w:type="auto" w:w="0"/>
              <w:jc w:val="center"/>
              <w:tblLook w:firstColumn="1" w:firstRow="1" w:lastColumn="0" w:lastRow="0" w:noHBand="0" w:noVBand="1" w:val="04A0"/>
            </w:tblPr>
            <w:tblGrid>
              <w:gridCol w:w="1701"/>
              <w:gridCol w:w="12756"/>
            </w:tblGrid>
            <w:tr>
              <w:tc>
                <w:tcPr>
                  <w:tcW w:type="dxa" w:w="7399"/>
                  <w:shd w:val="clear" w:color="auto" w:fill="0A1422"/>
                  <w:vAlign w:val="center"/>
                </w:tcPr>
                <w:p>
                  <w:pPr>
                    <w:spacing w:before="240" w:after="0"/>
                    <w:jc w:val="center"/>
                  </w:pPr>
                  <w:r>
                    <w:rPr>
                      <w:b/>
                      <w:i w:val="0"/>
                      <w:color w:val="FFD700"/>
                      <w:sz w:val="72"/>
                    </w:rPr>
                    <w:t>04</w:t>
                  </w:r>
                </w:p>
                <w:p>
                  <w:pPr>
                    <w:spacing w:before="40" w:after="240"/>
                    <w:jc w:val="center"/>
                  </w:pPr>
                  <w:r>
                    <w:rPr>
                      <w:b w:val="0"/>
                      <w:i w:val="0"/>
                      <w:color w:val="8A9AAA"/>
                      <w:sz w:val="16"/>
                    </w:rPr>
                    <w:t>核心卖点</w:t>
                  </w:r>
                </w:p>
              </w:tc>
              <w:tc>
                <w:tcPr>
                  <w:tcW w:type="dxa" w:w="7399"/>
                  <w:vAlign w:val="center"/>
                </w:tcPr>
                <w:p>
                  <w:pPr>
                    <w:spacing w:before="240" w:after="80"/>
                  </w:pPr>
                  <w:r>
                    <w:rPr>
                      <w:b/>
                      <w:i w:val="0"/>
                      <w:color w:val="FFFFFF"/>
                      <w:sz w:val="26"/>
                    </w:rPr>
                    <w:t>高可用的数字人主播 · 7×24小时永不停播</w:t>
                  </w:r>
                </w:p>
                <w:p>
                  <w:pPr>
                    <w:spacing w:before="0" w:after="120"/>
                  </w:pPr>
                  <w:r>
                    <w:rPr>
                      <w:b/>
                      <w:i w:val="0"/>
                      <w:color w:val="FFD700"/>
                      <w:sz w:val="21"/>
                    </w:rPr>
                    <w:t>✦  上传文案，5秒生成数字人视频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集成高可用数字人主播引擎，输入文案即可自动生成逼真的AI数字人视频，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支持多语言、多音色、多形象的灵活配置，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可应用于直播带货、企业宣传、培训讲解等全场景。</w:t>
                  </w:r>
                </w:p>
                <w:p>
                  <w:pPr>
                    <w:spacing w:before="0" w:after="80"/>
                  </w:pP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7×24小时在线，无需人工干预，为企业节省90%的人力主播成本，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让品牌宣传真正实现「永不打烊」。</w:t>
                  </w:r>
                </w:p>
                <w:p>
                  <w:pPr>
                    <w:spacing w:before="120" w:after="240"/>
                  </w:pPr>
                  <w:r>
                    <w:rPr>
                      <w:b w:val="0"/>
                      <w:i w:val="0"/>
                      <w:color w:val="00FF88"/>
                      <w:sz w:val="17"/>
                    </w:rPr>
                    <w:t xml:space="preserve">#数字人  </w:t>
                  </w:r>
                  <w:r>
                    <w:rPr>
                      <w:b w:val="0"/>
                      <w:i w:val="0"/>
                      <w:color w:val="00FF88"/>
                      <w:sz w:val="17"/>
                    </w:rPr>
                    <w:t xml:space="preserve">#AI主播  </w:t>
                  </w:r>
                  <w:r>
                    <w:rPr>
                      <w:b w:val="0"/>
                      <w:i w:val="0"/>
                      <w:color w:val="00FF88"/>
                      <w:sz w:val="17"/>
                    </w:rPr>
                    <w:t xml:space="preserve">#7×24在线  </w:t>
                  </w:r>
                  <w:r>
                    <w:rPr>
                      <w:b w:val="0"/>
                      <w:i w:val="0"/>
                      <w:color w:val="00FF88"/>
                      <w:sz w:val="17"/>
                    </w:rPr>
                    <w:t xml:space="preserve">#视频生成  </w:t>
                  </w:r>
                </w:p>
              </w:tc>
            </w:tr>
          </w:tbl>
        </w:tc>
      </w:tr>
    </w:tbl>
    <w:p>
      <w:pPr>
        <w:spacing w:before="0" w:after="80" w:line="80" w:lineRule="exact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4798"/>
      </w:tblGrid>
      <w:tr>
        <w:tc>
          <w:tcPr>
            <w:tcW w:type="dxa" w:w="14798"/>
            <w:shd w:val="clear" w:color="auto" w:fill="0D1A28"/>
            <w:tcBorders>
              <w:top w:sz="12" w:color="00D4FF" w:val="single"/>
              <w:left w:sz="12" w:color="00D4FF" w:val="single"/>
              <w:bottom w:sz="12" w:color="00D4FF" w:val="single"/>
              <w:right w:sz="12" w:color="00D4FF" w:val="single"/>
            </w:tcBorders>
          </w:tcPr>
          <w:p>
            <w:pPr>
              <w:spacing w:before="0" w:after="0" w:line="0" w:lineRule="exact"/>
            </w:pPr>
          </w:p>
          <w:tbl>
            <w:tblPr>
              <w:tblW w:type="auto" w:w="0"/>
              <w:jc w:val="center"/>
              <w:tblLook w:firstColumn="1" w:firstRow="1" w:lastColumn="0" w:lastRow="0" w:noHBand="0" w:noVBand="1" w:val="04A0"/>
            </w:tblPr>
            <w:tblGrid>
              <w:gridCol w:w="1701"/>
              <w:gridCol w:w="12756"/>
            </w:tblGrid>
            <w:tr>
              <w:tc>
                <w:tcPr>
                  <w:tcW w:type="dxa" w:w="7399"/>
                  <w:shd w:val="clear" w:color="auto" w:fill="0A1422"/>
                  <w:vAlign w:val="center"/>
                </w:tcPr>
                <w:p>
                  <w:pPr>
                    <w:spacing w:before="240" w:after="0"/>
                    <w:jc w:val="center"/>
                  </w:pPr>
                  <w:r>
                    <w:rPr>
                      <w:b/>
                      <w:i w:val="0"/>
                      <w:color w:val="FFD700"/>
                      <w:sz w:val="72"/>
                    </w:rPr>
                    <w:t>05</w:t>
                  </w:r>
                </w:p>
                <w:p>
                  <w:pPr>
                    <w:spacing w:before="40" w:after="240"/>
                    <w:jc w:val="center"/>
                  </w:pPr>
                  <w:r>
                    <w:rPr>
                      <w:b w:val="0"/>
                      <w:i w:val="0"/>
                      <w:color w:val="8A9AAA"/>
                      <w:sz w:val="16"/>
                    </w:rPr>
                    <w:t>核心卖点</w:t>
                  </w:r>
                </w:p>
              </w:tc>
              <w:tc>
                <w:tcPr>
                  <w:tcW w:type="dxa" w:w="7399"/>
                  <w:vAlign w:val="center"/>
                </w:tcPr>
                <w:p>
                  <w:pPr>
                    <w:spacing w:before="240" w:after="80"/>
                  </w:pPr>
                  <w:r>
                    <w:rPr>
                      <w:b/>
                      <w:i w:val="0"/>
                      <w:color w:val="FFFFFF"/>
                      <w:sz w:val="26"/>
                    </w:rPr>
                    <w:t>MiniBot硬件即平台 · 开机即是AI-ready</w:t>
                  </w:r>
                </w:p>
                <w:p>
                  <w:pPr>
                    <w:spacing w:before="0" w:after="120"/>
                  </w:pPr>
                  <w:r>
                    <w:rPr>
                      <w:b/>
                      <w:i w:val="0"/>
                      <w:color w:val="FFD700"/>
                      <w:sz w:val="21"/>
                    </w:rPr>
                    <w:t>✦  3分钟完成部署，零学习成本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预装 MiniBot OS，开机即用，无需配置环境、安装依赖或编写代码。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内置 NewMind 双智能体引擎、MQTT/WebSocket 通信模组，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上电即连接，远程指令毫秒级触达。</w:t>
                  </w:r>
                </w:p>
                <w:p>
                  <w:pPr>
                    <w:spacing w:before="0" w:after="80"/>
                  </w:pP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即插即用的设计理念，让AI能力触手可及：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从开箱到产出第一份AI成果，理论上仅需3分钟。</w:t>
                  </w:r>
                </w:p>
                <w:p>
                  <w:pPr>
                    <w:spacing w:before="120" w:after="240"/>
                  </w:pPr>
                  <w:r>
                    <w:rPr>
                      <w:b w:val="0"/>
                      <w:i w:val="0"/>
                      <w:color w:val="00D4FF"/>
                      <w:sz w:val="17"/>
                    </w:rPr>
                    <w:t xml:space="preserve">#MiniBot  </w:t>
                  </w:r>
                  <w:r>
                    <w:rPr>
                      <w:b w:val="0"/>
                      <w:i w:val="0"/>
                      <w:color w:val="00D4FF"/>
                      <w:sz w:val="17"/>
                    </w:rPr>
                    <w:t xml:space="preserve">#开机即用  </w:t>
                  </w:r>
                  <w:r>
                    <w:rPr>
                      <w:b w:val="0"/>
                      <w:i w:val="0"/>
                      <w:color w:val="00D4FF"/>
                      <w:sz w:val="17"/>
                    </w:rPr>
                    <w:t xml:space="preserve">#即插即用  </w:t>
                  </w:r>
                  <w:r>
                    <w:rPr>
                      <w:b w:val="0"/>
                      <w:i w:val="0"/>
                      <w:color w:val="00D4FF"/>
                      <w:sz w:val="17"/>
                    </w:rPr>
                    <w:t xml:space="preserve">#零配置  </w:t>
                  </w:r>
                </w:p>
              </w:tc>
            </w:tr>
          </w:tbl>
        </w:tc>
      </w:tr>
    </w:tbl>
    <w:p>
      <w:pPr>
        <w:spacing w:before="0" w:after="80" w:line="80" w:lineRule="exact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4798"/>
      </w:tblGrid>
      <w:tr>
        <w:tc>
          <w:tcPr>
            <w:tcW w:type="dxa" w:w="14798"/>
            <w:shd w:val="clear" w:color="auto" w:fill="0D1A28"/>
            <w:tcBorders>
              <w:top w:sz="12" w:color="00FF88" w:val="single"/>
              <w:left w:sz="12" w:color="00FF88" w:val="single"/>
              <w:bottom w:sz="12" w:color="00FF88" w:val="single"/>
              <w:right w:sz="12" w:color="00FF88" w:val="single"/>
            </w:tcBorders>
          </w:tcPr>
          <w:p>
            <w:pPr>
              <w:spacing w:before="0" w:after="0" w:line="0" w:lineRule="exact"/>
            </w:pPr>
          </w:p>
          <w:tbl>
            <w:tblPr>
              <w:tblW w:type="auto" w:w="0"/>
              <w:jc w:val="center"/>
              <w:tblLook w:firstColumn="1" w:firstRow="1" w:lastColumn="0" w:lastRow="0" w:noHBand="0" w:noVBand="1" w:val="04A0"/>
            </w:tblPr>
            <w:tblGrid>
              <w:gridCol w:w="1701"/>
              <w:gridCol w:w="12756"/>
            </w:tblGrid>
            <w:tr>
              <w:tc>
                <w:tcPr>
                  <w:tcW w:type="dxa" w:w="7399"/>
                  <w:shd w:val="clear" w:color="auto" w:fill="0A1422"/>
                  <w:vAlign w:val="center"/>
                </w:tcPr>
                <w:p>
                  <w:pPr>
                    <w:spacing w:before="240" w:after="0"/>
                    <w:jc w:val="center"/>
                  </w:pPr>
                  <w:r>
                    <w:rPr>
                      <w:b/>
                      <w:i w:val="0"/>
                      <w:color w:val="FFD700"/>
                      <w:sz w:val="72"/>
                    </w:rPr>
                    <w:t>06</w:t>
                  </w:r>
                </w:p>
                <w:p>
                  <w:pPr>
                    <w:spacing w:before="40" w:after="240"/>
                    <w:jc w:val="center"/>
                  </w:pPr>
                  <w:r>
                    <w:rPr>
                      <w:b w:val="0"/>
                      <w:i w:val="0"/>
                      <w:color w:val="8A9AAA"/>
                      <w:sz w:val="16"/>
                    </w:rPr>
                    <w:t>核心卖点</w:t>
                  </w:r>
                </w:p>
              </w:tc>
              <w:tc>
                <w:tcPr>
                  <w:tcW w:type="dxa" w:w="7399"/>
                  <w:vAlign w:val="center"/>
                </w:tcPr>
                <w:p>
                  <w:pPr>
                    <w:spacing w:before="240" w:after="80"/>
                  </w:pPr>
                  <w:r>
                    <w:rPr>
                      <w:b/>
                      <w:i w:val="0"/>
                      <w:color w:val="FFFFFF"/>
                      <w:sz w:val="26"/>
                    </w:rPr>
                    <w:t>22+岗位覆盖 · 一机替代一个部门</w:t>
                  </w:r>
                </w:p>
                <w:p>
                  <w:pPr>
                    <w:spacing w:before="0" w:after="120"/>
                  </w:pPr>
                  <w:r>
                    <w:rPr>
                      <w:b/>
                      <w:i w:val="0"/>
                      <w:color w:val="FFD700"/>
                      <w:sz w:val="21"/>
                    </w:rPr>
                    <w:t>✦  律师、医生、客服、财务、设计……全能胜任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基于技能引擎（Skill Engine）架构，支持按需加载岗位场景，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目前已覆盖律师咨询、医疗助手、电商客服、财务分析、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设计创作、教育培训等22个以上垂直岗位。</w:t>
                  </w:r>
                </w:p>
                <w:p>
                  <w:pPr>
                    <w:spacing w:before="0" w:after="80"/>
                  </w:pP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一台设备、一个团队的费用，同时拥有22个专业AI助手，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是中小企业降本增效的终极武器。</w:t>
                  </w:r>
                </w:p>
                <w:p>
                  <w:pPr>
                    <w:spacing w:before="120" w:after="240"/>
                  </w:pPr>
                  <w:r>
                    <w:rPr>
                      <w:b w:val="0"/>
                      <w:i w:val="0"/>
                      <w:color w:val="00FF88"/>
                      <w:sz w:val="17"/>
                    </w:rPr>
                    <w:t xml:space="preserve">#22+岗位  </w:t>
                  </w:r>
                  <w:r>
                    <w:rPr>
                      <w:b w:val="0"/>
                      <w:i w:val="0"/>
                      <w:color w:val="00FF88"/>
                      <w:sz w:val="17"/>
                    </w:rPr>
                    <w:t xml:space="preserve">#垂直场景  </w:t>
                  </w:r>
                  <w:r>
                    <w:rPr>
                      <w:b w:val="0"/>
                      <w:i w:val="0"/>
                      <w:color w:val="00FF88"/>
                      <w:sz w:val="17"/>
                    </w:rPr>
                    <w:t xml:space="preserve">#降本增效  </w:t>
                  </w:r>
                  <w:r>
                    <w:rPr>
                      <w:b w:val="0"/>
                      <w:i w:val="0"/>
                      <w:color w:val="00FF88"/>
                      <w:sz w:val="17"/>
                    </w:rPr>
                    <w:t xml:space="preserve">#一机多能  </w:t>
                  </w:r>
                </w:p>
              </w:tc>
            </w:tr>
          </w:tbl>
        </w:tc>
      </w:tr>
    </w:tbl>
    <w:p>
      <w:pPr>
        <w:spacing w:before="0" w:after="80" w:line="80" w:lineRule="exact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4798"/>
      </w:tblGrid>
      <w:tr>
        <w:tc>
          <w:tcPr>
            <w:tcW w:type="dxa" w:w="14798"/>
            <w:shd w:val="clear" w:color="auto" w:fill="0D1A28"/>
            <w:tcBorders>
              <w:top w:sz="12" w:color="00D4FF" w:val="single"/>
              <w:left w:sz="12" w:color="00D4FF" w:val="single"/>
              <w:bottom w:sz="12" w:color="00D4FF" w:val="single"/>
              <w:right w:sz="12" w:color="00D4FF" w:val="single"/>
            </w:tcBorders>
          </w:tcPr>
          <w:p>
            <w:pPr>
              <w:spacing w:before="0" w:after="0" w:line="0" w:lineRule="exact"/>
            </w:pPr>
          </w:p>
          <w:tbl>
            <w:tblPr>
              <w:tblW w:type="auto" w:w="0"/>
              <w:jc w:val="center"/>
              <w:tblLook w:firstColumn="1" w:firstRow="1" w:lastColumn="0" w:lastRow="0" w:noHBand="0" w:noVBand="1" w:val="04A0"/>
            </w:tblPr>
            <w:tblGrid>
              <w:gridCol w:w="1701"/>
              <w:gridCol w:w="12756"/>
            </w:tblGrid>
            <w:tr>
              <w:tc>
                <w:tcPr>
                  <w:tcW w:type="dxa" w:w="7399"/>
                  <w:shd w:val="clear" w:color="auto" w:fill="0A1422"/>
                  <w:vAlign w:val="center"/>
                </w:tcPr>
                <w:p>
                  <w:pPr>
                    <w:spacing w:before="240" w:after="0"/>
                    <w:jc w:val="center"/>
                  </w:pPr>
                  <w:r>
                    <w:rPr>
                      <w:b/>
                      <w:i w:val="0"/>
                      <w:color w:val="FFD700"/>
                      <w:sz w:val="72"/>
                    </w:rPr>
                    <w:t>07</w:t>
                  </w:r>
                </w:p>
                <w:p>
                  <w:pPr>
                    <w:spacing w:before="40" w:after="240"/>
                    <w:jc w:val="center"/>
                  </w:pPr>
                  <w:r>
                    <w:rPr>
                      <w:b w:val="0"/>
                      <w:i w:val="0"/>
                      <w:color w:val="8A9AAA"/>
                      <w:sz w:val="16"/>
                    </w:rPr>
                    <w:t>核心卖点</w:t>
                  </w:r>
                </w:p>
              </w:tc>
              <w:tc>
                <w:tcPr>
                  <w:tcW w:type="dxa" w:w="7399"/>
                  <w:vAlign w:val="center"/>
                </w:tcPr>
                <w:p>
                  <w:pPr>
                    <w:spacing w:before="240" w:after="80"/>
                  </w:pPr>
                  <w:r>
                    <w:rPr>
                      <w:b/>
                      <w:i w:val="0"/>
                      <w:color w:val="FFFFFF"/>
                      <w:sz w:val="26"/>
                    </w:rPr>
                    <w:t>私有知识库 RAG · 让企业数据成为AI燃料</w:t>
                  </w:r>
                </w:p>
                <w:p>
                  <w:pPr>
                    <w:spacing w:before="0" w:after="120"/>
                  </w:pPr>
                  <w:r>
                    <w:rPr>
                      <w:b/>
                      <w:i w:val="0"/>
                      <w:color w:val="FFD700"/>
                      <w:sz w:val="21"/>
                    </w:rPr>
                    <w:t>✦  一键导入，数据主权100%归企业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支持私有知识库一键导入，基于RAG检索增强技术，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让AI在企业专属知识语境中回答问题，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问答准确率相比通用大模型提升3倍以上。</w:t>
                  </w:r>
                </w:p>
                <w:p>
                  <w:pPr>
                    <w:spacing w:before="0" w:after="80"/>
                  </w:pP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敏感数据本地存储、本地计算，从不过云端，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数据主权100%归用户，真正实现「数据可用不可见」。</w:t>
                  </w:r>
                </w:p>
                <w:p>
                  <w:pPr>
                    <w:spacing w:before="120" w:after="240"/>
                  </w:pPr>
                  <w:r>
                    <w:rPr>
                      <w:b w:val="0"/>
                      <w:i w:val="0"/>
                      <w:color w:val="00D4FF"/>
                      <w:sz w:val="17"/>
                    </w:rPr>
                    <w:t xml:space="preserve">#私有知识库  </w:t>
                  </w:r>
                  <w:r>
                    <w:rPr>
                      <w:b w:val="0"/>
                      <w:i w:val="0"/>
                      <w:color w:val="00D4FF"/>
                      <w:sz w:val="17"/>
                    </w:rPr>
                    <w:t xml:space="preserve">#RAG检索  </w:t>
                  </w:r>
                  <w:r>
                    <w:rPr>
                      <w:b w:val="0"/>
                      <w:i w:val="0"/>
                      <w:color w:val="00D4FF"/>
                      <w:sz w:val="17"/>
                    </w:rPr>
                    <w:t xml:space="preserve">#数据主权  </w:t>
                  </w:r>
                  <w:r>
                    <w:rPr>
                      <w:b w:val="0"/>
                      <w:i w:val="0"/>
                      <w:color w:val="00D4FF"/>
                      <w:sz w:val="17"/>
                    </w:rPr>
                    <w:t xml:space="preserve">#本地化存储  </w:t>
                  </w:r>
                </w:p>
              </w:tc>
            </w:tr>
          </w:tbl>
        </w:tc>
      </w:tr>
    </w:tbl>
    <w:p>
      <w:pPr>
        <w:spacing w:before="0" w:after="80" w:line="80" w:lineRule="exact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4798"/>
      </w:tblGrid>
      <w:tr>
        <w:tc>
          <w:tcPr>
            <w:tcW w:type="dxa" w:w="14798"/>
            <w:shd w:val="clear" w:color="auto" w:fill="0D1A28"/>
            <w:tcBorders>
              <w:top w:sz="12" w:color="00FF88" w:val="single"/>
              <w:left w:sz="12" w:color="00FF88" w:val="single"/>
              <w:bottom w:sz="12" w:color="00FF88" w:val="single"/>
              <w:right w:sz="12" w:color="00FF88" w:val="single"/>
            </w:tcBorders>
          </w:tcPr>
          <w:p>
            <w:pPr>
              <w:spacing w:before="0" w:after="0" w:line="0" w:lineRule="exact"/>
            </w:pPr>
          </w:p>
          <w:tbl>
            <w:tblPr>
              <w:tblW w:type="auto" w:w="0"/>
              <w:jc w:val="center"/>
              <w:tblLook w:firstColumn="1" w:firstRow="1" w:lastColumn="0" w:lastRow="0" w:noHBand="0" w:noVBand="1" w:val="04A0"/>
            </w:tblPr>
            <w:tblGrid>
              <w:gridCol w:w="1701"/>
              <w:gridCol w:w="12756"/>
            </w:tblGrid>
            <w:tr>
              <w:tc>
                <w:tcPr>
                  <w:tcW w:type="dxa" w:w="7399"/>
                  <w:shd w:val="clear" w:color="auto" w:fill="0A1422"/>
                  <w:vAlign w:val="center"/>
                </w:tcPr>
                <w:p>
                  <w:pPr>
                    <w:spacing w:before="240" w:after="0"/>
                    <w:jc w:val="center"/>
                  </w:pPr>
                  <w:r>
                    <w:rPr>
                      <w:b/>
                      <w:i w:val="0"/>
                      <w:color w:val="FFD700"/>
                      <w:sz w:val="72"/>
                    </w:rPr>
                    <w:t>08</w:t>
                  </w:r>
                </w:p>
                <w:p>
                  <w:pPr>
                    <w:spacing w:before="40" w:after="240"/>
                    <w:jc w:val="center"/>
                  </w:pPr>
                  <w:r>
                    <w:rPr>
                      <w:b w:val="0"/>
                      <w:i w:val="0"/>
                      <w:color w:val="8A9AAA"/>
                      <w:sz w:val="16"/>
                    </w:rPr>
                    <w:t>核心卖点</w:t>
                  </w:r>
                </w:p>
              </w:tc>
              <w:tc>
                <w:tcPr>
                  <w:tcW w:type="dxa" w:w="7399"/>
                  <w:vAlign w:val="center"/>
                </w:tcPr>
                <w:p>
                  <w:pPr>
                    <w:spacing w:before="240" w:after="80"/>
                  </w:pPr>
                  <w:r>
                    <w:rPr>
                      <w:b/>
                      <w:i w:val="0"/>
                      <w:color w:val="FFFFFF"/>
                      <w:sz w:val="26"/>
                    </w:rPr>
                    <w:t>双通道安全体系 · 固若金汤的隐私防线</w:t>
                  </w:r>
                </w:p>
                <w:p>
                  <w:pPr>
                    <w:spacing w:before="0" w:after="120"/>
                  </w:pPr>
                  <w:r>
                    <w:rPr>
                      <w:b/>
                      <w:i w:val="0"/>
                      <w:color w:val="FFD700"/>
                      <w:sz w:val="21"/>
                    </w:rPr>
                    <w:t>✦  国密SM4加密 + 等保三级认证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数据安全通道：国密 SM4 算法加密（自主可控，不依赖国外算法），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配合 TLS 传输加密与隐私数据识别与本地拦截技术，全链路无懈可击。</w:t>
                  </w:r>
                </w:p>
                <w:p>
                  <w:pPr>
                    <w:spacing w:before="0" w:after="80"/>
                  </w:pP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系统稳定通道：边缘节点异常自愈、在线热更新，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云端备份节点随时接管，故障恢复时间（MTTR）低于30秒，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7×24小时运行无忧。</w:t>
                  </w:r>
                </w:p>
                <w:p>
                  <w:pPr>
                    <w:spacing w:before="0" w:after="80"/>
                  </w:pP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通过等保三级认证，满足党政军及关键行业最严合规要求。</w:t>
                  </w:r>
                </w:p>
                <w:p>
                  <w:pPr>
                    <w:spacing w:before="120" w:after="240"/>
                  </w:pPr>
                  <w:r>
                    <w:rPr>
                      <w:b w:val="0"/>
                      <w:i w:val="0"/>
                      <w:color w:val="00FF88"/>
                      <w:sz w:val="17"/>
                    </w:rPr>
                    <w:t xml:space="preserve">#SM4国密  </w:t>
                  </w:r>
                  <w:r>
                    <w:rPr>
                      <w:b w:val="0"/>
                      <w:i w:val="0"/>
                      <w:color w:val="00FF88"/>
                      <w:sz w:val="17"/>
                    </w:rPr>
                    <w:t xml:space="preserve">#等保三级  </w:t>
                  </w:r>
                  <w:r>
                    <w:rPr>
                      <w:b w:val="0"/>
                      <w:i w:val="0"/>
                      <w:color w:val="00FF88"/>
                      <w:sz w:val="17"/>
                    </w:rPr>
                    <w:t xml:space="preserve">#自愈机制  </w:t>
                  </w:r>
                  <w:r>
                    <w:rPr>
                      <w:b w:val="0"/>
                      <w:i w:val="0"/>
                      <w:color w:val="00FF88"/>
                      <w:sz w:val="17"/>
                    </w:rPr>
                    <w:t xml:space="preserve">#热更新  </w:t>
                  </w:r>
                </w:p>
              </w:tc>
            </w:tr>
          </w:tbl>
        </w:tc>
      </w:tr>
    </w:tbl>
    <w:p>
      <w:pPr>
        <w:spacing w:before="0" w:after="80" w:line="80" w:lineRule="exact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4798"/>
      </w:tblGrid>
      <w:tr>
        <w:tc>
          <w:tcPr>
            <w:tcW w:type="dxa" w:w="14798"/>
            <w:shd w:val="clear" w:color="auto" w:fill="0D1A28"/>
            <w:tcBorders>
              <w:top w:sz="12" w:color="00D4FF" w:val="single"/>
              <w:left w:sz="12" w:color="00D4FF" w:val="single"/>
              <w:bottom w:sz="12" w:color="00D4FF" w:val="single"/>
              <w:right w:sz="12" w:color="00D4FF" w:val="single"/>
            </w:tcBorders>
          </w:tcPr>
          <w:p>
            <w:pPr>
              <w:spacing w:before="0" w:after="0" w:line="0" w:lineRule="exact"/>
            </w:pPr>
          </w:p>
          <w:tbl>
            <w:tblPr>
              <w:tblW w:type="auto" w:w="0"/>
              <w:jc w:val="center"/>
              <w:tblLook w:firstColumn="1" w:firstRow="1" w:lastColumn="0" w:lastRow="0" w:noHBand="0" w:noVBand="1" w:val="04A0"/>
            </w:tblPr>
            <w:tblGrid>
              <w:gridCol w:w="1701"/>
              <w:gridCol w:w="12756"/>
            </w:tblGrid>
            <w:tr>
              <w:tc>
                <w:tcPr>
                  <w:tcW w:type="dxa" w:w="7399"/>
                  <w:shd w:val="clear" w:color="auto" w:fill="0A1422"/>
                  <w:vAlign w:val="center"/>
                </w:tcPr>
                <w:p>
                  <w:pPr>
                    <w:spacing w:before="240" w:after="0"/>
                    <w:jc w:val="center"/>
                  </w:pPr>
                  <w:r>
                    <w:rPr>
                      <w:b/>
                      <w:i w:val="0"/>
                      <w:color w:val="FFD700"/>
                      <w:sz w:val="72"/>
                    </w:rPr>
                    <w:t>09</w:t>
                  </w:r>
                </w:p>
                <w:p>
                  <w:pPr>
                    <w:spacing w:before="40" w:after="240"/>
                    <w:jc w:val="center"/>
                  </w:pPr>
                  <w:r>
                    <w:rPr>
                      <w:b w:val="0"/>
                      <w:i w:val="0"/>
                      <w:color w:val="8A9AAA"/>
                      <w:sz w:val="16"/>
                    </w:rPr>
                    <w:t>核心卖点</w:t>
                  </w:r>
                </w:p>
              </w:tc>
              <w:tc>
                <w:tcPr>
                  <w:tcW w:type="dxa" w:w="7399"/>
                  <w:vAlign w:val="center"/>
                </w:tcPr>
                <w:p>
                  <w:pPr>
                    <w:spacing w:before="240" w:after="80"/>
                  </w:pPr>
                  <w:r>
                    <w:rPr>
                      <w:b/>
                      <w:i w:val="0"/>
                      <w:color w:val="FFFFFF"/>
                      <w:sz w:val="26"/>
                    </w:rPr>
                    <w:t>横向弹性扩展 · 从1台到100台自由伸缩</w:t>
                  </w:r>
                </w:p>
                <w:p>
                  <w:pPr>
                    <w:spacing w:before="0" w:after="120"/>
                  </w:pPr>
                  <w:r>
                    <w:rPr>
                      <w:b/>
                      <w:i w:val="0"/>
                      <w:color w:val="FFD700"/>
                      <w:sz w:val="21"/>
                    </w:rPr>
                    <w:t>✦  自组网协同，线性算力扩展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基于轻量化边缘节点架构，支持横向弹性扩展：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从单台设备到百台集群，自组网协同调度，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算力随业务线性增长，突破单台硬件算力瓶颈。</w:t>
                  </w:r>
                </w:p>
                <w:p>
                  <w:pPr>
                    <w:spacing w:before="0" w:after="80"/>
                  </w:pP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模型按场景动态加载，能力池按需调度，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云端算力无限延伸，让AI系统随企业规模同步壮大。</w:t>
                  </w:r>
                </w:p>
                <w:p>
                  <w:pPr>
                    <w:spacing w:before="120" w:after="240"/>
                  </w:pPr>
                  <w:r>
                    <w:rPr>
                      <w:b w:val="0"/>
                      <w:i w:val="0"/>
                      <w:color w:val="00D4FF"/>
                      <w:sz w:val="17"/>
                    </w:rPr>
                    <w:t xml:space="preserve">#弹性扩展  </w:t>
                  </w:r>
                  <w:r>
                    <w:rPr>
                      <w:b w:val="0"/>
                      <w:i w:val="0"/>
                      <w:color w:val="00D4FF"/>
                      <w:sz w:val="17"/>
                    </w:rPr>
                    <w:t xml:space="preserve">#自组网  </w:t>
                  </w:r>
                  <w:r>
                    <w:rPr>
                      <w:b w:val="0"/>
                      <w:i w:val="0"/>
                      <w:color w:val="00D4FF"/>
                      <w:sz w:val="17"/>
                    </w:rPr>
                    <w:t xml:space="preserve">#算力池  </w:t>
                  </w:r>
                  <w:r>
                    <w:rPr>
                      <w:b w:val="0"/>
                      <w:i w:val="0"/>
                      <w:color w:val="00D4FF"/>
                      <w:sz w:val="17"/>
                    </w:rPr>
                    <w:t xml:space="preserve">#线性增长  </w:t>
                  </w:r>
                </w:p>
              </w:tc>
            </w:tr>
          </w:tbl>
        </w:tc>
      </w:tr>
    </w:tbl>
    <w:p>
      <w:pPr>
        <w:spacing w:before="0" w:after="80" w:line="80" w:lineRule="exact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4798"/>
      </w:tblGrid>
      <w:tr>
        <w:tc>
          <w:tcPr>
            <w:tcW w:type="dxa" w:w="14798"/>
            <w:shd w:val="clear" w:color="auto" w:fill="0D1A28"/>
            <w:tcBorders>
              <w:top w:sz="12" w:color="00FF88" w:val="single"/>
              <w:left w:sz="12" w:color="00FF88" w:val="single"/>
              <w:bottom w:sz="12" w:color="00FF88" w:val="single"/>
              <w:right w:sz="12" w:color="00FF88" w:val="single"/>
            </w:tcBorders>
          </w:tcPr>
          <w:p>
            <w:pPr>
              <w:spacing w:before="0" w:after="0" w:line="0" w:lineRule="exact"/>
            </w:pPr>
          </w:p>
          <w:tbl>
            <w:tblPr>
              <w:tblW w:type="auto" w:w="0"/>
              <w:jc w:val="center"/>
              <w:tblLook w:firstColumn="1" w:firstRow="1" w:lastColumn="0" w:lastRow="0" w:noHBand="0" w:noVBand="1" w:val="04A0"/>
            </w:tblPr>
            <w:tblGrid>
              <w:gridCol w:w="1701"/>
              <w:gridCol w:w="12756"/>
            </w:tblGrid>
            <w:tr>
              <w:tc>
                <w:tcPr>
                  <w:tcW w:type="dxa" w:w="7399"/>
                  <w:shd w:val="clear" w:color="auto" w:fill="0A1422"/>
                  <w:vAlign w:val="center"/>
                </w:tcPr>
                <w:p>
                  <w:pPr>
                    <w:spacing w:before="240" w:after="0"/>
                    <w:jc w:val="center"/>
                  </w:pPr>
                  <w:r>
                    <w:rPr>
                      <w:b/>
                      <w:i w:val="0"/>
                      <w:color w:val="FFD700"/>
                      <w:sz w:val="72"/>
                    </w:rPr>
                    <w:t>10</w:t>
                  </w:r>
                </w:p>
                <w:p>
                  <w:pPr>
                    <w:spacing w:before="40" w:after="240"/>
                    <w:jc w:val="center"/>
                  </w:pPr>
                  <w:r>
                    <w:rPr>
                      <w:b w:val="0"/>
                      <w:i w:val="0"/>
                      <w:color w:val="8A9AAA"/>
                      <w:sz w:val="16"/>
                    </w:rPr>
                    <w:t>核心卖点</w:t>
                  </w:r>
                </w:p>
              </w:tc>
              <w:tc>
                <w:tcPr>
                  <w:tcW w:type="dxa" w:w="7399"/>
                  <w:vAlign w:val="center"/>
                </w:tcPr>
                <w:p>
                  <w:pPr>
                    <w:spacing w:before="240" w:after="80"/>
                  </w:pPr>
                  <w:r>
                    <w:rPr>
                      <w:b/>
                      <w:i w:val="0"/>
                      <w:color w:val="FFFFFF"/>
                      <w:sz w:val="26"/>
                    </w:rPr>
                    <w:t>全能工作助理 · 你的私人AI管家</w:t>
                  </w:r>
                </w:p>
                <w:p>
                  <w:pPr>
                    <w:spacing w:before="0" w:after="120"/>
                  </w:pPr>
                  <w:r>
                    <w:rPr>
                      <w:b/>
                      <w:i w:val="0"/>
                      <w:color w:val="FFD700"/>
                      <w:sz w:val="21"/>
                    </w:rPr>
                    <w:t>✦  一句话搞定日程、邮件、报告、创作全流程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集成全能工作助理引擎，基于双智能体协同机制，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一句话帮你完成日程管理、邮件撰写、工作报告、营销文案、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数据分析、PPT制作等日常工作的全流程处理。</w:t>
                  </w:r>
                </w:p>
                <w:p>
                  <w:pPr>
                    <w:spacing w:before="0" w:after="80"/>
                  </w:pP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同时内置私人助理模式：健康提醒、旅行规划、购物建议、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学习辅导等生活场景全覆盖——既是职场最强辅助，</w:t>
                  </w:r>
                </w:p>
                <w:p>
                  <w:pPr>
                    <w:spacing w:before="0" w:after="40"/>
                  </w:pPr>
                  <w:r>
                    <w:rPr>
                      <w:b w:val="0"/>
                      <w:i w:val="0"/>
                      <w:color w:val="E8EEF4"/>
                      <w:sz w:val="20"/>
                    </w:rPr>
                    <w:t>也是你7×24小时在线的私人AI管家。</w:t>
                  </w:r>
                </w:p>
                <w:p>
                  <w:pPr>
                    <w:spacing w:before="120" w:after="240"/>
                  </w:pPr>
                  <w:r>
                    <w:rPr>
                      <w:b w:val="0"/>
                      <w:i w:val="0"/>
                      <w:color w:val="00FF88"/>
                      <w:sz w:val="17"/>
                    </w:rPr>
                    <w:t xml:space="preserve">#工作助理  </w:t>
                  </w:r>
                  <w:r>
                    <w:rPr>
                      <w:b w:val="0"/>
                      <w:i w:val="0"/>
                      <w:color w:val="00FF88"/>
                      <w:sz w:val="17"/>
                    </w:rPr>
                    <w:t xml:space="preserve">#私人助理  </w:t>
                  </w:r>
                  <w:r>
                    <w:rPr>
                      <w:b w:val="0"/>
                      <w:i w:val="0"/>
                      <w:color w:val="00FF88"/>
                      <w:sz w:val="17"/>
                    </w:rPr>
                    <w:t xml:space="preserve">#双智能体  </w:t>
                  </w:r>
                  <w:r>
                    <w:rPr>
                      <w:b w:val="0"/>
                      <w:i w:val="0"/>
                      <w:color w:val="00FF88"/>
                      <w:sz w:val="17"/>
                    </w:rPr>
                    <w:t xml:space="preserve">#全能AI  </w:t>
                  </w:r>
                </w:p>
              </w:tc>
            </w:tr>
          </w:tbl>
        </w:tc>
      </w:tr>
    </w:tbl>
    <w:p>
      <w:pPr>
        <w:spacing w:before="0" w:after="80" w:line="80" w:lineRule="exact"/>
      </w:pPr>
    </w:p>
    <w:p/>
    <w:p>
      <w:pPr>
        <w:spacing w:before="120" w:after="120"/>
        <w:jc w:val="center"/>
      </w:pPr>
      <w:r>
        <w:rPr>
          <w:b w:val="0"/>
          <w:i w:val="0"/>
          <w:color w:val="00D4FF"/>
          <w:sz w:val="20"/>
        </w:rPr>
        <w:t>━━━━━━━━━━━━━━━━━━━━━━━━━━━━━━━━━━━━━━━━━━━━━━━━━━━━━━━━━━</w:t>
      </w:r>
    </w:p>
    <w:p>
      <w:pPr>
        <w:spacing w:after="0"/>
        <w:jc w:val="center"/>
      </w:pPr>
      <w:r>
        <w:rPr>
          <w:b w:val="0"/>
          <w:i w:val="0"/>
          <w:color w:val="8A9AAA"/>
          <w:sz w:val="18"/>
        </w:rPr>
        <w:t>贵州惠智电子技术有限责任公司  ·  SmartEdge Brain  ·  智能端脑产品白皮书</w:t>
      </w:r>
    </w:p>
    <w:sectPr w:rsidR="00FC693F" w:rsidRPr="0006063C" w:rsidSect="00034616">
      <w:pgSz w:w="16838" w:h="11906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